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rFonts w:ascii="Calibri" w:cs="Calibri" w:eastAsia="Calibri" w:hAnsi="Calibri"/>
          <w:b/>
          <w:bCs/>
          <w:sz w:val="28"/>
          <w:szCs w:val="28"/>
        </w:rPr>
        <w:t xml:space="preserve">PUNCT DE VEDERE PRIVIND PROPUNEREA LEGISLATIVĂ B525/2026</w:t>
      </w:r>
    </w:p>
    <w:p>
      <w:pPr>
        <w:pBdr>
          <w:bottom w:val="single" w:color="999999" w:sz="6" w:space="8"/>
        </w:pBdr>
        <w:spacing w:after="300"/>
        <w:jc w:val="center"/>
      </w:pPr>
      <w:r>
        <w:rPr>
          <w:rFonts w:ascii="Calibri" w:cs="Calibri" w:eastAsia="Calibri" w:hAnsi="Calibri"/>
          <w:i/>
          <w:iCs/>
          <w:color w:val="444444"/>
          <w:sz w:val="20"/>
          <w:szCs w:val="20"/>
        </w:rPr>
        <w:t xml:space="preserve">Propunere legislativă pentru modificarea și completarea Ordonanței de urgență nr.195/2005 privind protecția mediului (Cod Senat: 27964 | Termen dezbatere publică: 23-10-2026)</w:t>
      </w:r>
    </w:p>
    <w:p>
      <w:pPr>
        <w:spacing w:after="200" w:before="2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Către: Biroul Permanent al Senatului României și Comisiile permanente sesizate în fond și pentru aviz</w:t>
      </w:r>
    </w:p>
    <w:p>
      <w:pPr>
        <w:spacing w:after="24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Subsemnatul(a) {{NUME_CETATEAN}}, în temeiul procedurii de consultare publică a Senatului României, formulez prezentul Punct de vedere referitor la Propunerea legislativă B525/2026 (Propunere legislativă pentru modificarea și completarea Ordonanței de urgență nr.195/2005 privind protecția mediului).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I. Sinteză Executivă (Scor Risc AI — Gemini + Claude + ChatGPT: 2.0/10)</w:t>
      </w:r>
    </w:p>
    <w:p>
      <w:pPr>
        <w:spacing w:after="16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Ce susțin inițiatorii: </w:t>
      </w:r>
      <w:r>
        <w:rPr>
          <w:rFonts w:ascii="Calibri" w:cs="Calibri" w:eastAsia="Calibri" w:hAnsi="Calibri"/>
          <w:sz w:val="22"/>
          <w:szCs w:val="22"/>
        </w:rPr>
        <w:t xml:space="preserve">Oprește practica autorităților de a răspunde formal la petițiile cetățenilor fără să facă măsurători în teren.</w:t>
      </w:r>
    </w:p>
    <w:p>
      <w:pPr>
        <w:spacing w:after="24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Efectul real în practică: </w:t>
      </w:r>
      <w:r>
        <w:rPr>
          <w:rFonts w:ascii="Calibri" w:cs="Calibri" w:eastAsia="Calibri" w:hAnsi="Calibri"/>
          <w:sz w:val="22"/>
          <w:szCs w:val="22"/>
        </w:rPr>
        <w:t xml:space="preserve">Proiect pozitiv pentru comunitățile afectate de gropi de gunoi și poluatori industriali.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1. Sinteza prevederilor analizate</w:t>
      </w:r>
    </w:p>
    <w:p>
      <w:pPr>
        <w:spacing w:after="1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Modifică OUG nr. 195/2005 privind protecția mediului (Art. 64^6) pentru a obliga direcțiile de sănătate publică să efectueze investigații reale și monitorizări independente ale apei și solului atunci când cetățenii reclamă disconfort olfactiv și poluare.</w:t>
      </w:r>
    </w:p>
    <w:p>
      <w:pPr>
        <w:spacing w:after="1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Proiect pozitiv pentru comunitățile afectate de gropi de gunoi și poluatori industriali.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2. Recomandare și argumentare</w:t>
      </w:r>
    </w:p>
    <w:p>
      <w:pPr>
        <w:spacing w:after="1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Susțin adoptarea propunerii legislative B525/2026, cu recomandarea corelării normelor metodologice și a termenelor de aplicare conform Legii nr. 24/2000.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Concluzii și Solicitări Oficiale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Susțin adoptarea propunerii legislative B525/2026, cu recomandarea corelării normelor metodologice și a termenelor de aplicare conform Legii nr. 24/2000.</w:t>
      </w:r>
    </w:p>
    <w:p>
      <w:pPr>
        <w:spacing w:after="120" w:before="360"/>
      </w:pPr>
      <w:r>
        <w:rPr>
          <w:rFonts w:ascii="Calibri" w:cs="Calibri" w:eastAsia="Calibri" w:hAnsi="Calibri"/>
          <w:sz w:val="22"/>
          <w:szCs w:val="22"/>
        </w:rPr>
        <w:t xml:space="preserve">Cu deosebită considerație,</w:t>
      </w:r>
    </w:p>
    <w:p>
      <w:pPr>
        <w:spacing w:after="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Cetățean / Contribuabil / Reprezentant al Societății Civile</w:t>
      </w:r>
    </w:p>
    <w:p>
      <w:r>
        <w:rPr>
          <w:rFonts w:ascii="Calibri" w:cs="Calibri" w:eastAsia="Calibri" w:hAnsi="Calibri"/>
          <w:i/>
          <w:iCs/>
          <w:color w:val="666666"/>
          <w:sz w:val="18"/>
          <w:szCs w:val="18"/>
        </w:rPr>
        <w:t xml:space="preserve">Generat prin platforma civică „La Straja Legii” • Referință proiect: B525/2026 (Cod Senat 27964)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2026-10-23T13:44:04.738Z</dcterms:created>
  <dcterms:modified xsi:type="dcterms:W3CDTF">2026-10-23T13:44:04.738Z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