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ȘI OBIECTIUNI FORMALE PRIVIND PROPUNEREA LEGISLATIVĂ B563/2026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modificarea și completarea Legii nr.51/1995 pentru organizarea și exercitarea profesiei de avocat, precum și pentru completarea Legea nr.287/2009 privind Codul Civil (Cod Senat: 27999 | Termen dezbatere publică: 13-11-2026)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Subsemnatul(a) {{NUME_CETATEAN}}, în temeiul normelor privind transparența decizională și consultarea publică parlamentară, formulez prezentul Punct de vedere referitor la Propunerea legislativă B563/2026 pentru modificarea și completarea Legii nr. 51/1995 pentru organizarea și exercitarea profesiei de avocat, precum și pentru completarea Legii nr. 287/2009 privind Codul Civil, solicitând respingerea propunerii în ansamblu sau, în subsidiar, eliminarea dispozițiilor neconstituționale, anticoncurențiale și contrare dreptului Uniunii Europene.</w:t>
      </w:r>
    </w:p>
    <w:p>
      <w:pPr>
        <w:pStyle w:val="Heading2"/>
        <w:spacing w:after="120" w:before="240"/>
      </w:pPr>
      <w:r>
        <w:rPr>
          <w:rFonts w:ascii="Calibri" w:cs="Calibri" w:eastAsia="Calibri" w:hAnsi="Calibri"/>
          <w:b/>
          <w:bCs/>
          <w:sz w:val="24"/>
          <w:szCs w:val="24"/>
        </w:rPr>
        <w:t xml:space="preserve">I. Sinteză Executivă (Scor Risc AI — Gemini + Claude + ChatGPT: 9.8/10)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Inițiatorii susțin că proiectul aduce doar „clarificări legislative”, adaptează secretul profesional la mediul digital și protejează publicul de „avocatura clandestină” practicată online sau prin instrumente de inteligență artificială.</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În realitate, modificarea Art. 3 alin. (2) din Legea 51/1995 (eliminarea sintagmei „dacă legea nu prevede altfel” și restrângerea excepțiilor exclusiv la „alte profesii juridice”) coroborată cu Art. 1241–1245 Cod Civil și noile litere de la Art. 3 alin. (1) expune la răspundere penală (Art. 25) experții contabili (CECCAR), specialiștii HR, mediatorii și platformele digitale care fac aceste acte, fără niciun test de proporționalitate conform Directivei (UE) 2018/958.</w:t>
      </w:r>
    </w:p>
    <w:p>
      <w:pPr>
        <w:pStyle w:val="Heading2"/>
        <w:spacing w:after="120" w:before="240"/>
      </w:pPr>
      <w:r>
        <w:rPr>
          <w:rFonts w:ascii="Calibri" w:cs="Calibri" w:eastAsia="Calibri" w:hAnsi="Calibri"/>
          <w:b/>
          <w:bCs/>
          <w:sz w:val="24"/>
          <w:szCs w:val="24"/>
        </w:rPr>
        <w:t xml:space="preserve">1. Încălcarea Directivei (UE) 2018/958 și a Legii nr. 245/2020 (Lipsa testului obligatoriu de proporționalitate)</w:t>
      </w:r>
    </w:p>
    <w:p>
      <w:pPr>
        <w:spacing w:after="160"/>
        <w:jc w:val="both"/>
      </w:pPr>
      <w:r>
        <w:rPr>
          <w:rFonts w:ascii="Calibri" w:cs="Calibri" w:eastAsia="Calibri" w:hAnsi="Calibri"/>
          <w:sz w:val="22"/>
          <w:szCs w:val="22"/>
        </w:rPr>
        <w:t xml:space="preserve">Conform Directivei (UE) 2018/958 privind efectuarea unui test de proporționalitate înainte de adoptarea unor noi reglementări referitoare la profesii (transpusă în dreptul intern prin Legea nr. 245/2020), orice proiect normativ care introduce sau extinde rezervarea de activități în favoarea unei profesii reglementate trebuie să fie însoțit de o evaluare detaliată și obiectivă a proporționalității.</w:t>
      </w:r>
    </w:p>
    <w:p>
      <w:pPr>
        <w:spacing w:after="160"/>
        <w:jc w:val="both"/>
      </w:pPr>
      <w:r>
        <w:rPr>
          <w:rFonts w:ascii="Calibri" w:cs="Calibri" w:eastAsia="Calibri" w:hAnsi="Calibri"/>
          <w:sz w:val="22"/>
          <w:szCs w:val="22"/>
        </w:rPr>
        <w:t xml:space="preserve">Deși Expunerea de motive menționează formal „garanții privind proporționalitatea rezervării activităților”, documentația proiectului B563/2026 nu conține niciun test de proporționalitate și nicio analiză de impact economic care să demonstreze de ce măsurile mai puțin restrictive sunt insuficiente. Potrivit estimărilor mediului de afaceri (Romanian Business Leaders), obligativitatea redactării prin avocat a actelor societare la ONRC și a contractelor scrise ar genera costuri suplimentare de conformare de peste 100 milioane EUR anual pentru IMM-uri.</w:t>
      </w:r>
    </w:p>
    <w:p>
      <w:pPr>
        <w:pStyle w:val="Heading2"/>
        <w:spacing w:after="120" w:before="240"/>
      </w:pPr>
      <w:r>
        <w:rPr>
          <w:rFonts w:ascii="Calibri" w:cs="Calibri" w:eastAsia="Calibri" w:hAnsi="Calibri"/>
          <w:b/>
          <w:bCs/>
          <w:sz w:val="24"/>
          <w:szCs w:val="24"/>
        </w:rPr>
        <w:t xml:space="preserve">2. Eliminarea nejustificată a altor profesii reglementate prin modificarea Art. 3 alin. (2) și a Art. 1241–1245 Cod Civil</w:t>
      </w:r>
    </w:p>
    <w:p>
      <w:pPr>
        <w:spacing w:after="160"/>
        <w:jc w:val="both"/>
      </w:pPr>
      <w:r>
        <w:rPr>
          <w:rFonts w:ascii="Calibri" w:cs="Calibri" w:eastAsia="Calibri" w:hAnsi="Calibri"/>
          <w:sz w:val="22"/>
          <w:szCs w:val="22"/>
        </w:rPr>
        <w:t xml:space="preserve">Prin Art. I pct. 8 din proiect, la art. 3 alin. (2) din Legea nr. 51/1995 se elimină sintagma „dacă legea nu prevede altfel” și se înlocuiește cu „cu excepția celor care sunt stabilite în mod expres prin lege și în competența altor profesii juridice”. Coroborat cu noile litere k^1–k^6 de la art. 3 alin. (1) și cu modificarea art. 1241 alin. (2), art. 1243 alin. (2) și art. 1245 alin. (2) din Codul Civil, proiectul incriminează, prin raportare la art. 25 din Legea nr. 51/1995, activități desfășurate în prezent în mod legal de profesii economice reglementate, precum experții contabili și contabilii autorizați (OG nr. 65/1994), consultanții fiscali (OG nr. 71/2001) și specialiștii în resurse umane.</w:t>
      </w:r>
    </w:p>
    <w:p>
      <w:pPr>
        <w:spacing w:after="160"/>
        <w:jc w:val="both"/>
      </w:pPr>
      <w:r>
        <w:rPr>
          <w:rFonts w:ascii="Calibri" w:cs="Calibri" w:eastAsia="Calibri" w:hAnsi="Calibri"/>
          <w:sz w:val="22"/>
          <w:szCs w:val="22"/>
        </w:rPr>
        <w:t xml:space="preserve">De asemenea, invocarea în Expunerea de motive a legii germane (Rechtsdienstleistungsgesetz – RDG) este trunchiată: proiectul preia interdicția din § 2 RDG, dar omite deliberat excepția expresă din § 5 RDG (care permite prestarea serviciilor juridice accesorii unei alte activități profesionale principale, precum contabilitatea sau administrarea proprietăților) și pe cea din § 6 RDG (serviciile gratuite).</w:t>
      </w:r>
    </w:p>
    <w:p>
      <w:pPr>
        <w:pStyle w:val="Heading2"/>
        <w:spacing w:after="120" w:before="240"/>
      </w:pPr>
      <w:r>
        <w:rPr>
          <w:rFonts w:ascii="Calibri" w:cs="Calibri" w:eastAsia="Calibri" w:hAnsi="Calibri"/>
          <w:b/>
          <w:bCs/>
          <w:sz w:val="24"/>
          <w:szCs w:val="24"/>
        </w:rPr>
        <w:t xml:space="preserve">3. Încălcarea Directivei (UE) 2015/1535 (Procedura TRIS) și restricționarea disproporționată a serviciilor digitale și AI</w:t>
      </w:r>
    </w:p>
    <w:p>
      <w:pPr>
        <w:spacing w:after="160"/>
        <w:jc w:val="both"/>
      </w:pPr>
      <w:r>
        <w:rPr>
          <w:rFonts w:ascii="Calibri" w:cs="Calibri" w:eastAsia="Calibri" w:hAnsi="Calibri"/>
          <w:sz w:val="22"/>
          <w:szCs w:val="22"/>
        </w:rPr>
        <w:t xml:space="preserve">Prin Art. I pct. 10 (art. 3^1 alin. 3), pct. 11 (art. 25^1 – ordine de eliminare a serviciilor online în 5 zile în temeiul Regulamentului DSA 2022/2065, la cererea UNBR) și pct. 17 (art. 59 alin. 8 – domenii de internet, platforme online, aplicații și alte servicii ale societății informaționale), propunerea instituie reglementări tehnice naționale aplicabile serviciilor societății informaționale.</w:t>
      </w:r>
    </w:p>
    <w:p>
      <w:pPr>
        <w:spacing w:after="160"/>
        <w:jc w:val="both"/>
      </w:pPr>
      <w:r>
        <w:rPr>
          <w:rFonts w:ascii="Calibri" w:cs="Calibri" w:eastAsia="Calibri" w:hAnsi="Calibri"/>
          <w:sz w:val="22"/>
          <w:szCs w:val="22"/>
        </w:rPr>
        <w:t xml:space="preserve">În lipsa notificării prealabile a Comisiei Europene și a respectării perioadei obligatorii de standstill de 3 luni conform Directivei (UE) 2015/1535, aceste dispoziții sunt inopozabile particularilor conform jurisprudenței constante a Curții de Justiție a Uniunii Europene (cauzele C-194/94 CIA Security și C-443/98 Unilever).</w:t>
      </w:r>
    </w:p>
    <w:p>
      <w:pPr>
        <w:pStyle w:val="Heading2"/>
        <w:spacing w:after="120" w:before="240"/>
      </w:pPr>
      <w:r>
        <w:rPr>
          <w:rFonts w:ascii="Calibri" w:cs="Calibri" w:eastAsia="Calibri" w:hAnsi="Calibri"/>
          <w:b/>
          <w:bCs/>
          <w:sz w:val="24"/>
          <w:szCs w:val="24"/>
        </w:rPr>
        <w:t xml:space="preserve">4. Vicii de neconstituționalitate: Art. 1 alin. (5), Art. 21, Art. 23 alin. (12), Art. 45 și Art. 53 din Constituția României</w:t>
      </w:r>
    </w:p>
    <w:p>
      <w:pPr>
        <w:spacing w:after="160"/>
        <w:jc w:val="both"/>
      </w:pPr>
      <w:r>
        <w:rPr>
          <w:rFonts w:ascii="Calibri" w:cs="Calibri" w:eastAsia="Calibri" w:hAnsi="Calibri"/>
          <w:sz w:val="22"/>
          <w:szCs w:val="22"/>
        </w:rPr>
        <w:t xml:space="preserve">Art. I pct. 17 (modificarea art. 59 alin. 7) incriminează cu închisoarea de la 6 luni la 3 ani folosirea fără drept a oricăror denumiri sau expresii care „prin modul de prezentare ori prin contextul în care sunt utilizate” sunt de natură să inducă în eroare publicul. Utilizarea criteriului vag al „contextului” într-o normă de incriminare penală încalcă principiul legalității și previzibilității legii penale (lex certa).</w:t>
      </w:r>
    </w:p>
    <w:p>
      <w:pPr>
        <w:spacing w:after="160"/>
        <w:jc w:val="both"/>
      </w:pPr>
      <w:r>
        <w:rPr>
          <w:rFonts w:ascii="Calibri" w:cs="Calibri" w:eastAsia="Calibri" w:hAnsi="Calibri"/>
          <w:sz w:val="22"/>
          <w:szCs w:val="22"/>
        </w:rPr>
        <w:t xml:space="preserve">Totodată, impunerea asistenței avocațiale obligatorii în orice procedură de divorț cu copii minori, „indiferent de calea procedurală aleasă” (art. 3 alin. 1 lit. k^5 – deci inclusiv în procedura amiabilă notarială), precum și obligarea persoanelor juridice de drept privat de a preda înscrisuri la simpla cerere a avocatului fără control judiciar prealabil (art. 3 alin. 2^1) încalcă principiul proporționalității (art. 53 din Constituție).</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Respingerea solicitării de dezbatere în procedură de urgență a propunerii legislative B563/2026;</w:t>
      </w:r>
    </w:p>
    <w:p>
      <w:pPr>
        <w:pStyle w:val="ListParagraph"/>
        <w:numPr>
          <w:ilvl w:val="0"/>
          <w:numId w:val="1"/>
        </w:numPr>
        <w:spacing w:after="120"/>
      </w:pPr>
      <w:r>
        <w:rPr>
          <w:rFonts w:ascii="Calibri" w:cs="Calibri" w:eastAsia="Calibri" w:hAnsi="Calibri"/>
          <w:b/>
          <w:bCs/>
          <w:sz w:val="22"/>
          <w:szCs w:val="22"/>
        </w:rPr>
        <w:t xml:space="preserve">Eliminarea integrală a Art. II (modificarea art. 1241, 1242, 1243 și 1245 din Codul Civil);</w:t>
      </w:r>
    </w:p>
    <w:p>
      <w:pPr>
        <w:pStyle w:val="ListParagraph"/>
        <w:numPr>
          <w:ilvl w:val="0"/>
          <w:numId w:val="1"/>
        </w:numPr>
        <w:spacing w:after="120"/>
      </w:pPr>
      <w:r>
        <w:rPr>
          <w:rFonts w:ascii="Calibri" w:cs="Calibri" w:eastAsia="Calibri" w:hAnsi="Calibri"/>
          <w:b/>
          <w:bCs/>
          <w:sz w:val="22"/>
          <w:szCs w:val="22"/>
        </w:rPr>
        <w:t xml:space="preserve">Menținerea formei actuale a art. 3 alin. (2) din Legea nr. 51/1995 („dacă legea nu prevede altfel”) și eliminarea monopolului asupra înregistrărilor la ONRC (lit. k^2), RNPM (lit. k^1), escrow (lit. g^1), divorțurilor amiabile cu minori (lit. k^5) și medierii fără autorizare (lit. f);</w:t>
      </w:r>
    </w:p>
    <w:p>
      <w:pPr>
        <w:pStyle w:val="ListParagraph"/>
        <w:numPr>
          <w:ilvl w:val="0"/>
          <w:numId w:val="1"/>
        </w:numPr>
        <w:spacing w:after="120"/>
      </w:pPr>
      <w:r>
        <w:rPr>
          <w:rFonts w:ascii="Calibri" w:cs="Calibri" w:eastAsia="Calibri" w:hAnsi="Calibri"/>
          <w:b/>
          <w:bCs/>
          <w:sz w:val="22"/>
          <w:szCs w:val="22"/>
        </w:rPr>
        <w:t xml:space="preserve">Reformularea art. 3^1, art. 25^1 și art. 59 alin. (7)-(8) și notificarea prealabilă a Comisiei Europene prin procedura TRIS conform Directivei (UE) 2015/1535;</w:t>
      </w:r>
    </w:p>
    <w:p>
      <w:pPr>
        <w:pStyle w:val="ListParagraph"/>
        <w:numPr>
          <w:ilvl w:val="0"/>
          <w:numId w:val="1"/>
        </w:numPr>
        <w:spacing w:after="120"/>
      </w:pPr>
      <w:r>
        <w:rPr>
          <w:rFonts w:ascii="Calibri" w:cs="Calibri" w:eastAsia="Calibri" w:hAnsi="Calibri"/>
          <w:b/>
          <w:bCs/>
          <w:sz w:val="22"/>
          <w:szCs w:val="22"/>
        </w:rPr>
        <w:t xml:space="preserve">Sesizarea pentru co-raport/aviz a Comisiei pentru comunicații, tehnologia informației și inteligență artificială și a Comisiei economice, industrii, servicii, turism și antreprenoriat, precum și solicitarea avizului Consiliului Concurenței.</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destrajă.ro • Referință proiect: B563/2026 (Cod Senat 27999)</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2026-10-28T10:56:00.169Z</dcterms:created>
  <dcterms:modified xsi:type="dcterms:W3CDTF">2026-10-28T10:56:00.170Z</dcterms:modified>
</cp:coreProperties>
</file>

<file path=docProps/custom.xml><?xml version="1.0" encoding="utf-8"?>
<Properties xmlns="http://schemas.openxmlformats.org/officeDocument/2006/custom-properties" xmlns:vt="http://schemas.openxmlformats.org/officeDocument/2006/docPropsVTypes"/>
</file>