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PRIVIND PROPUNEREA LEGISLATIVĂ B580/2026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privind înființarea, organizarea și funcționarea instituției Avocatul Furnizorului de Servicii Sociale, precum și pentru modificarea și completarea unor acte normative (Cod Senat: 28016 | Termen dezbatere publică: 19-11-2026)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temeiul procedurii de consultare publică a Senatului României, formulez prezentul Punct de vedere referitor la Propunerea legislativă B580/2026 (Propunere legislativă privind înființarea, organizarea și funcționarea instituției Avocatul Furnizorului de Servicii Sociale, precum și pentru modificarea și completarea unor acte normative).</w:t>
      </w:r>
    </w:p>
    <w:p>
      <w:pPr>
        <w:pStyle w:val="Heading2"/>
        <w:spacing w:after="120" w:before="240"/>
      </w:pPr>
      <w:r>
        <w:rPr>
          <w:rFonts w:ascii="Calibri" w:cs="Calibri" w:eastAsia="Calibri" w:hAnsi="Calibri"/>
          <w:b/>
          <w:bCs/>
          <w:sz w:val="24"/>
          <w:szCs w:val="24"/>
        </w:rPr>
        <w:t xml:space="preserve">I. Sinteză Executivă (Scor Risc AI — Gemini + Claude + ChatGPT: 6.3/10)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Ajută centrele sociale care se confruntă cu blocaje birocratice sau cu dificultatea obținerii autorizației de securitate la incendiu.</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Creează o structură birocratică paralelă cu Avocatul Poporului (contrar jurisprudenței CCR) și mută accentul de pe protecția beneficiarilor vulnerabili (vârstnici, copii, persoane cu dizabilități) pe protejarea operatorilor de cămine în fața controalelor ISU și ANPIS.</w:t>
      </w:r>
    </w:p>
    <w:p>
      <w:pPr>
        <w:pStyle w:val="Heading2"/>
        <w:spacing w:after="120" w:before="240"/>
      </w:pPr>
      <w:r>
        <w:rPr>
          <w:rFonts w:ascii="Calibri" w:cs="Calibri" w:eastAsia="Calibri" w:hAnsi="Calibri"/>
          <w:b/>
          <w:bCs/>
          <w:sz w:val="24"/>
          <w:szCs w:val="24"/>
        </w:rPr>
        <w:t xml:space="preserve">1. Sinteza prevederilor analizate</w:t>
      </w:r>
    </w:p>
    <w:p>
      <w:pPr>
        <w:spacing w:after="160"/>
        <w:jc w:val="both"/>
      </w:pPr>
      <w:r>
        <w:rPr>
          <w:rFonts w:ascii="Calibri" w:cs="Calibri" w:eastAsia="Calibri" w:hAnsi="Calibri"/>
          <w:sz w:val="22"/>
          <w:szCs w:val="22"/>
        </w:rPr>
        <w:t xml:space="preserve">Înființează o nouă instituție publică („Avocatul Furnizorului de Servicii Sociale”) menită să apere drepturile și interesele furnizorilor publici și privați de servicii sociale în raport cu autoritățile de control și licențiere (inclusiv ISU).</w:t>
      </w:r>
    </w:p>
    <w:p>
      <w:pPr>
        <w:spacing w:after="160"/>
        <w:jc w:val="both"/>
      </w:pPr>
      <w:r>
        <w:rPr>
          <w:rFonts w:ascii="Calibri" w:cs="Calibri" w:eastAsia="Calibri" w:hAnsi="Calibri"/>
          <w:sz w:val="22"/>
          <w:szCs w:val="22"/>
        </w:rPr>
        <w:t xml:space="preserve">Creează o structură birocratică paralelă cu Avocatul Poporului (contrar jurisprudenței CCR) și mută accentul de pe protecția beneficiarilor vulnerabili (vârstnici, copii, persoane cu dizabilități) pe protejarea operatorilor de cămine în fața controalelor ISU și ANPIS.</w:t>
      </w:r>
    </w:p>
    <w:p>
      <w:pPr>
        <w:pStyle w:val="Heading2"/>
        <w:spacing w:after="120" w:before="240"/>
      </w:pPr>
      <w:r>
        <w:rPr>
          <w:rFonts w:ascii="Calibri" w:cs="Calibri" w:eastAsia="Calibri" w:hAnsi="Calibri"/>
          <w:b/>
          <w:bCs/>
          <w:sz w:val="24"/>
          <w:szCs w:val="24"/>
        </w:rPr>
        <w:t xml:space="preserve">2. Recomandare și argumentare</w:t>
      </w:r>
    </w:p>
    <w:p>
      <w:pPr>
        <w:spacing w:after="160"/>
        <w:jc w:val="both"/>
      </w:pPr>
      <w:r>
        <w:rPr>
          <w:rFonts w:ascii="Calibri" w:cs="Calibri" w:eastAsia="Calibri" w:hAnsi="Calibri"/>
          <w:sz w:val="22"/>
          <w:szCs w:val="22"/>
        </w:rPr>
        <w:t xml:space="preserve">Solicit reanalizarea în comisiile de specialitate a propunerii B580/2026 și efectuarea unei evaluări complete de impact înainte de adoptare.</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Solicit reanalizarea în comisiile de specialitate a propunerii B580/2026 și efectuarea unei evaluări complete de impact înainte de adoptare.</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B580/2026 (Cod Senat 28016)</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2026-10-23T13:44:04.948Z</dcterms:created>
  <dcterms:modified xsi:type="dcterms:W3CDTF">2026-10-23T13:44:04.948Z</dcterms:modified>
</cp:coreProperties>
</file>

<file path=docProps/custom.xml><?xml version="1.0" encoding="utf-8"?>
<Properties xmlns="http://schemas.openxmlformats.org/officeDocument/2006/custom-properties" xmlns:vt="http://schemas.openxmlformats.org/officeDocument/2006/docPropsVTypes"/>
</file>