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AL SOCIETĂȚII CIVILE PRIVIND PROIECTUL B589/2026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pentru completarea Legii partidelor politice nr.14/2003, precum și pentru modificarea și completarea art.204 din Ordonanța de urgența a Guvernului nr.57/2019 privind Codul administrativ (Cod Senat: 28025 | Termen dezbatere publică: 25-11-2026)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În temeiul art. 7 din Legea nr. 52/2003 privind transparența decizională și al procedurii de consultare publică a Senatului României, formulăm prezentul punct de vedere tehnic și juridic referitor la propunerea legislativă B589/2026.</w:t>
      </w:r>
    </w:p>
    <w:p>
      <w:pPr>
        <w:pStyle w:val="Heading2"/>
        <w:spacing w:after="120" w:before="240"/>
      </w:pPr>
      <w:r>
        <w:rPr>
          <w:rFonts w:ascii="Calibri" w:cs="Calibri" w:eastAsia="Calibri" w:hAnsi="Calibri"/>
          <w:b/>
          <w:bCs/>
          <w:sz w:val="24"/>
          <w:szCs w:val="24"/>
        </w:rPr>
        <w:t xml:space="preserve">I. Sinteză Executivă (Scor Risc AI — Gemini + Claude + ChatGPT: 3.0/10)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Inițiatorii susțin că vor să elimine procesele care durează ani de zile atunci când un consilier local sau județean este exclus din partid, creând o procedură de judecată urgentă care să protejeze atât dreptul la apărare al alesului, cât și stabilitatea consiliilor locale.</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Pe de o parte, legea îl ajută pe alesul local: îi păstrează mandatul activ până la sentința definitivă, îl scutește de taxa de timbru și mută procesul la tribunalul din județul său (nu la sediul central al partidului din București). Pe de altă parte, funcționează și ca un instrument de evacuare rapidă pentru conducerile de partid: termenul de atac este de doar 10 zile sub sancțiunea decăderii, iar procesul se termină în câteva săptămâni, fără a se impune partidului o modalitate de comunicare cu confirmare de primire.</w:t>
      </w:r>
    </w:p>
    <w:p>
      <w:pPr>
        <w:pStyle w:val="Heading2"/>
        <w:spacing w:after="120" w:before="240"/>
      </w:pPr>
      <w:r>
        <w:rPr>
          <w:rFonts w:ascii="Calibri" w:cs="Calibri" w:eastAsia="Calibri" w:hAnsi="Calibri"/>
          <w:b/>
          <w:bCs/>
          <w:sz w:val="24"/>
          <w:szCs w:val="24"/>
        </w:rPr>
        <w:t xml:space="preserve">II. Analiza Tehnică, Constituțională și de Drept European</w:t>
      </w:r>
    </w:p>
    <w:p>
      <w:pPr>
        <w:spacing w:after="160"/>
        <w:jc w:val="both"/>
      </w:pPr>
      <w:r>
        <w:rPr>
          <w:rFonts w:ascii="Calibri" w:cs="Calibri" w:eastAsia="Calibri" w:hAnsi="Calibri"/>
          <w:sz w:val="22"/>
          <w:szCs w:val="22"/>
        </w:rPr>
        <w:t xml:space="preserve">Evaluare Gemini (Gemini 4 Argon): O inițiativă tehnică în mare parte binevenită, care codifică Decizia CCR nr. 530/2013 și păstrează mandatul alesului local pe durata procesului, dar care ascunde o capcană procedurală prin termenul de decădere de 10 zile fără reglementarea dovezii de comunicare. — Sub aspect substanțial, propunerea pune în acord Legea nr. 14/2003 cu Decizia CCR nr. 530/2013 (permițând controlul judecătoresc asupra legalității statutare și a dreptului la apărare, fără analiza oportunității politice). Totuși, sub aspectul calității și previzibilității legii (Art. 1 alin. 5 din Constituție) și al accesului efectiv la justiție (Art. 21), lipsa reglementării mijlocului de comunicare cu dată certă coroborată cu decăderea în 10 zile, precum și necorelarea termenelor la Art. 204 alin. (5) și (12) din Codul administrativ, creează vulnerabilități constituționale. Propunerea vizează exclusiv organizarea partidelor politice și statutul aleșilor locali, domeniu ce ține de autonomia constituțională și administrativă a statelor membre. Nu intră sub incidența Directivei (UE) 2018/958 (nu reglementează profesii) și nici a Directivei (UE) 2015/1535 (TRIS), fiind neutră față de piața unică și concurență.</w:t>
      </w:r>
    </w:p>
    <w:p>
      <w:pPr>
        <w:spacing w:after="160"/>
        <w:jc w:val="both"/>
      </w:pPr>
      <w:r>
        <w:rPr>
          <w:rFonts w:ascii="Calibri" w:cs="Calibri" w:eastAsia="Calibri" w:hAnsi="Calibri"/>
          <w:sz w:val="22"/>
          <w:szCs w:val="22"/>
        </w:rPr>
        <w:t xml:space="preserve">Evaluare Claude (Claude Opus 5.5): undefined — undefined undefined</w:t>
      </w:r>
    </w:p>
    <w:p>
      <w:pPr>
        <w:spacing w:after="160"/>
        <w:jc w:val="both"/>
      </w:pPr>
      <w:r>
        <w:rPr>
          <w:rFonts w:ascii="Calibri" w:cs="Calibri" w:eastAsia="Calibri" w:hAnsi="Calibri"/>
          <w:sz w:val="22"/>
          <w:szCs w:val="22"/>
        </w:rPr>
        <w:t xml:space="preserve">Evaluare ChatGPT (GPT-6.1): undefined — undefined undefined</w:t>
      </w:r>
    </w:p>
    <w:p>
      <w:pPr>
        <w:pStyle w:val="Heading2"/>
        <w:spacing w:after="120" w:before="240"/>
      </w:pPr>
      <w:r>
        <w:rPr>
          <w:rFonts w:ascii="Calibri" w:cs="Calibri" w:eastAsia="Calibri" w:hAnsi="Calibri"/>
          <w:b/>
          <w:bCs/>
          <w:sz w:val="24"/>
          <w:szCs w:val="24"/>
        </w:rPr>
        <w:t xml:space="preserve">III. Propunere de Amendare / Reglementare și Argumentare</w:t>
      </w:r>
    </w:p>
    <w:p>
      <w:pPr>
        <w:spacing w:after="160"/>
        <w:jc w:val="both"/>
      </w:pPr>
      <w:r>
        <w:rPr>
          <w:rFonts w:ascii="Calibri" w:cs="Calibri" w:eastAsia="Calibri" w:hAnsi="Calibri"/>
          <w:sz w:val="22"/>
          <w:szCs w:val="22"/>
        </w:rPr>
        <w:t xml:space="preserve">Articol vizat: Art. I (Art. 16^1 alin. 2, 16) și Art. II pct. 3</w:t>
      </w:r>
    </w:p>
    <w:p>
      <w:pPr>
        <w:spacing w:after="160"/>
        <w:jc w:val="both"/>
      </w:pPr>
      <w:r>
        <w:rPr>
          <w:rFonts w:ascii="Calibri" w:cs="Calibri" w:eastAsia="Calibri" w:hAnsi="Calibri"/>
          <w:sz w:val="22"/>
          <w:szCs w:val="22"/>
        </w:rPr>
        <w:t xml:space="preserve">Conținut propunere: La Art. 16^1 alin. (2), comunicarea hotărârii să se facă prin mijloace care asigură dovada primirii (scrisoare recomandată cu confirmare de primire sau executor). La alin. (16), admiterea contestației să dispună expres anularea hotărârii de excludere. La Art. 204 alin. (12), emiterea ordinului pe alin. (5) să fie condiționată de dovada necontestării în termenul de 10 zile.</w:t>
      </w:r>
    </w:p>
    <w:p>
      <w:pPr>
        <w:spacing w:after="160"/>
        <w:jc w:val="both"/>
      </w:pPr>
      <w:r>
        <w:rPr>
          <w:rFonts w:ascii="Calibri" w:cs="Calibri" w:eastAsia="Calibri" w:hAnsi="Calibri"/>
          <w:sz w:val="22"/>
          <w:szCs w:val="22"/>
        </w:rPr>
        <w:t xml:space="preserve">Argumentare: Termenul de decădere de 10 zile (alin. 3) este foarte scurt; fără o comunicare cu dovadă certă de primire, alesul local riscă pierderea dreptului de acces la justiție (art. 21 Constituție). De asemenea, conform art. 1 alin. (5) din Constituție, trebuie clarificat că instanța anulează însăși excluderea nelegală și că prefectul verifică certificatul de grefă înainte de vacantare.</w:t>
      </w:r>
    </w:p>
    <w:p>
      <w:pPr>
        <w:spacing w:after="160"/>
        <w:jc w:val="both"/>
      </w:pPr>
      <w:r>
        <w:rPr>
          <w:rFonts w:ascii="Calibri" w:cs="Calibri" w:eastAsia="Calibri" w:hAnsi="Calibri"/>
          <w:sz w:val="22"/>
          <w:szCs w:val="22"/>
        </w:rPr>
        <w:t xml:space="preserve">Observații suplimentare: Inițiativa este utilă pe fond: codifică Decizia CCR nr. 530/2013, suspendă de drept pierderea mandatului până la sentința definitivă și mută competența la tribunalul local, cu scutire de taxă de timbru. Se impune însă și corectarea erorilor materiale de numerotare a alineatelor nou-introduse la art. 204 din Codul administrativ: alin. (5^1)-(5^3).</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Având în vedere argumentele de mai sus, solicităm Comisiilor raportoare analizarea prezentelor observații și adoptarea amendamentelor tehnic-legislative propuse.</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„La Straja Legii” • Referință proiect: B589/2026 (Cod Senat 28025)</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2026-10-27T07:01:34.720Z</dcterms:created>
  <dcterms:modified xsi:type="dcterms:W3CDTF">2026-10-27T07:01:34.721Z</dcterms:modified>
</cp:coreProperties>
</file>

<file path=docProps/custom.xml><?xml version="1.0" encoding="utf-8"?>
<Properties xmlns="http://schemas.openxmlformats.org/officeDocument/2006/custom-properties" xmlns:vt="http://schemas.openxmlformats.org/officeDocument/2006/docPropsVTypes"/>
</file>