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Calibri" w:cs="Calibri" w:eastAsia="Calibri" w:hAnsi="Calibri"/>
          <w:b/>
          <w:bCs/>
          <w:sz w:val="28"/>
          <w:szCs w:val="28"/>
        </w:rPr>
        <w:t xml:space="preserve">PUNCT DE VEDERE AL SOCIETĂȚII CIVILE PRIVIND PROIECTUL B590/2026</w:t>
      </w:r>
    </w:p>
    <w:p>
      <w:pPr>
        <w:pBdr>
          <w:bottom w:val="single" w:color="999999" w:sz="6" w:space="8"/>
        </w:pBdr>
        <w:spacing w:after="300"/>
        <w:jc w:val="center"/>
      </w:pPr>
      <w:r>
        <w:rPr>
          <w:rFonts w:ascii="Calibri" w:cs="Calibri" w:eastAsia="Calibri" w:hAnsi="Calibri"/>
          <w:i/>
          <w:iCs/>
          <w:color w:val="444444"/>
          <w:sz w:val="20"/>
          <w:szCs w:val="20"/>
        </w:rPr>
        <w:t xml:space="preserve">Propunere legislativă privind durata mandatului, limitarea numărului de mandate și condițiile de exercitare a funcțiilor de conducere ale unor autorități și instituții din cadrul sistemului național de apărare, ordine publică și securitate națională (Cod Senat: 28030 | Termen dezbatere publică: 26-11-2026)</w:t>
      </w:r>
    </w:p>
    <w:p>
      <w:pPr>
        <w:spacing w:after="200" w:before="200"/>
      </w:pPr>
      <w:r>
        <w:rPr>
          <w:rFonts w:ascii="Calibri" w:cs="Calibri" w:eastAsia="Calibri" w:hAnsi="Calibri"/>
          <w:b/>
          <w:bCs/>
          <w:sz w:val="22"/>
          <w:szCs w:val="22"/>
        </w:rPr>
        <w:t xml:space="preserve">Către: Biroul Permanent al Senatului României și Comisiile permanente sesizate în fond și pentru aviz</w:t>
      </w:r>
    </w:p>
    <w:p>
      <w:pPr>
        <w:spacing w:after="240"/>
        <w:jc w:val="both"/>
      </w:pPr>
      <w:r>
        <w:rPr>
          <w:rFonts w:ascii="Calibri" w:cs="Calibri" w:eastAsia="Calibri" w:hAnsi="Calibri"/>
          <w:sz w:val="22"/>
          <w:szCs w:val="22"/>
        </w:rPr>
        <w:t xml:space="preserve">În cadrul consultării publice organizate de Senatul României și în exercitarea dreptului de petiționare prevăzut de art. 51 din Constituția României, formulăm prezentul punct de vedere tehnic și juridic referitor la propunerea legislativă B590/2026.</w:t>
      </w:r>
    </w:p>
    <w:p>
      <w:pPr>
        <w:pStyle w:val="Heading2"/>
        <w:spacing w:after="120" w:before="240"/>
      </w:pPr>
      <w:r>
        <w:rPr>
          <w:rFonts w:ascii="Calibri" w:cs="Calibri" w:eastAsia="Calibri" w:hAnsi="Calibri"/>
          <w:b/>
          <w:bCs/>
          <w:sz w:val="24"/>
          <w:szCs w:val="24"/>
        </w:rPr>
        <w:t xml:space="preserve">I. Sinteză Executivă (Scor Risc AI — Gemini + Claude + ChatGPT: 3.3/10)</w:t>
      </w:r>
    </w:p>
    <w:p>
      <w:pPr>
        <w:spacing w:after="160"/>
        <w:jc w:val="both"/>
      </w:pPr>
      <w:r>
        <w:rPr>
          <w:rFonts w:ascii="Calibri" w:cs="Calibri" w:eastAsia="Calibri" w:hAnsi="Calibri"/>
          <w:b/>
          <w:bCs/>
          <w:sz w:val="22"/>
          <w:szCs w:val="22"/>
        </w:rPr>
        <w:t xml:space="preserve">Ce susțin inițiatorii: </w:t>
      </w:r>
      <w:r>
        <w:rPr>
          <w:rFonts w:ascii="Calibri" w:cs="Calibri" w:eastAsia="Calibri" w:hAnsi="Calibri"/>
          <w:sz w:val="22"/>
          <w:szCs w:val="22"/>
        </w:rPr>
        <w:t xml:space="preserve">Expunerea de motive invocă predictibilitatea, continuitatea și responsabilitatea conducerii. Propune mandate de 5 ani, corelate ca durată cu mandatul prezidențial, cel mult două mandate, înlocuitori clari la expirare, condiții comune de eligibilitate și mai multă transparență pentru DGIA.</w:t>
      </w:r>
    </w:p>
    <w:p>
      <w:pPr>
        <w:spacing w:after="240"/>
        <w:jc w:val="both"/>
      </w:pPr>
      <w:r>
        <w:rPr>
          <w:rFonts w:ascii="Calibri" w:cs="Calibri" w:eastAsia="Calibri" w:hAnsi="Calibri"/>
          <w:b/>
          <w:bCs/>
          <w:sz w:val="22"/>
          <w:szCs w:val="22"/>
        </w:rPr>
        <w:t xml:space="preserve">Efectul real în practică: </w:t>
      </w:r>
      <w:r>
        <w:rPr>
          <w:rFonts w:ascii="Calibri" w:cs="Calibri" w:eastAsia="Calibri" w:hAnsi="Calibri"/>
          <w:sz w:val="22"/>
          <w:szCs w:val="22"/>
        </w:rPr>
        <w:t xml:space="preserve">Legea modifică șase acte normative. Introduce un mandat de 5 ani cu limită de două mandate, reguli de interimat și, pentru SIE, revocarea de către Parlament la propunerea Președintelui sau a unei treimi din deputați ori senatori. Corelarea cu mandatul prezidențial e doar declarativă, iar eliberarea înainte de termen rămâne în general discreționară, fără motive enumerate, așa că cei 5 ani sunt un plafon, nu o garanție de stabilitate. Fără dispoziții tranzitorii, efectul asupra titularilor actuali e imprevizibil: dacă mandatul se socotește de la numirea inițială, cei cu peste 5 ani în funcție ar trece la interimat după 30 de zile; dacă se socotește de la intrarea în vigoare, ar putea rămâne încă 10 ani.</w:t>
      </w:r>
    </w:p>
    <w:p>
      <w:pPr>
        <w:pStyle w:val="Heading2"/>
        <w:spacing w:after="120" w:before="240"/>
      </w:pPr>
      <w:r>
        <w:rPr>
          <w:rFonts w:ascii="Calibri" w:cs="Calibri" w:eastAsia="Calibri" w:hAnsi="Calibri"/>
          <w:b/>
          <w:bCs/>
          <w:sz w:val="24"/>
          <w:szCs w:val="24"/>
        </w:rPr>
        <w:t xml:space="preserve">II. Analiza Tehnică, Constituțională și de Drept European</w:t>
      </w:r>
    </w:p>
    <w:p>
      <w:pPr>
        <w:spacing w:after="160"/>
        <w:jc w:val="both"/>
      </w:pPr>
      <w:r>
        <w:rPr>
          <w:rFonts w:ascii="Calibri" w:cs="Calibri" w:eastAsia="Calibri" w:hAnsi="Calibri"/>
          <w:sz w:val="22"/>
          <w:szCs w:val="22"/>
        </w:rPr>
        <w:t xml:space="preserve">Evaluare Gemini (Gemini 4 Argon): O reformă democratică necesară și benefică, care pune capăt mandatelor pe perioadă nedeterminată la vârful serviciilor de informații și introduce raportarea publică anuală pentru DGIA. Textul suferă însă de două omisiuni tehnice importante: nu limitează durata interimatului și nu conține norme tranzitorii pentru directorii aflați deja în funcție. — Sub aspectul art. 1 alin. (5) din Constituție (calitatea și previzibilitatea legii) și al art. 15 alin. (2) (neretroactivitatea), absența normelor tranzitorii generează o incertitudine constituțională majoră: nu este clar dacă mandatele în curs la data intrării în vigoare încetează, se calculează de la numirea inițială sau încep să curgă pentru 5 ani de la intrarea în vigoare a legii. Totodată, reglementarea prin lege a componenței interne a unei comisii parlamentare (Art. 2 pct. 1) poate ridica discuții din perspectiva autonomiei regulamentare a Parlamentului (art. 64 și art. 65 din Constituție). Proiectul vizează exclusiv arhitectura instituțională de securitate națională, domeniu care, potrivit art. 4 alin. (2) din Tratatul privind Uniunea Europeană (TUE), rămâne în responsabilitatea exclusivă a fiecărui stat membru. Nu intră sub incidența Directivei (UE) 2018/958 privind testul de proporționalitate și nici a procedurii de notificare TRIS conform Directivei (UE) 2015/1535, neavând impact asupra pieței unice, concurenței sau IMM-urilor.</w:t>
      </w:r>
    </w:p>
    <w:p>
      <w:pPr>
        <w:spacing w:after="160"/>
        <w:jc w:val="both"/>
      </w:pPr>
      <w:r>
        <w:rPr>
          <w:rFonts w:ascii="Calibri" w:cs="Calibri" w:eastAsia="Calibri" w:hAnsi="Calibri"/>
          <w:sz w:val="22"/>
          <w:szCs w:val="22"/>
        </w:rPr>
        <w:t xml:space="preserve">Evaluare Claude (Claude Opus 5.5): Direcția e bună: șefii SRI, SIE, SPP, STS, DGPI și DGIA ar avea mandate de 5 ani, cel mult două, iar activitatea DGIA ar fi raportată anual Parlamentului. Textul are însă goluri serioase. Nu spune ce se întâmplă cu șefii aflați deja în funcție, lasă interimatele fără termen și fixează prin lege componența comisiei SRI. — Limitarea mandatelor e compatibilă cu Constituția. Art. 65 alin. (2) lit. h) dă Parlamentului numirea directorilor serviciilor de informații, la propunerea Președintelui, fără să fixeze durata mandatului. Cerințele de cetățenie și domiciliu din art. 8 reiau art. 16 alin. (3). Trei puncte sunt vulnerabile. Primul: art. 2 pct. 1 stabilește prin lege componența unei comisii parlamentare, deși organizarea Camerelor ține de regulamente (art. 64 alin. 1), iar comisiile se alcătuiesc după configurația politică (art. 64 alin. 5); restrângerea la membrii comisiilor de apărare poate dezechilibra această reprezentare. Al doilea: lipsa normelor tranzitorii afectează previzibilitatea (art. 1 alin. 5), iar aplicarea limitei la anii deja exercitați trebuie motivată în raport cu neretroactivitatea (art. 15 alin. 2). Al treilea: revocarea directorului SIE la inițiativa unei treimi din deputați sau senatori se poate sprijini pe rolul de control din art. 65 alin. (2) lit. h), dar se îndepărtează de simetria cu numirea, care se face doar la propunerea Președintelui. Propunerea nu intră sub incidența Directivei (UE) 2018/958, pentru că nu reglementează o profesie. Nu intră nici sub Directiva (UE) 2015/1535, pentru că nu conține reglementări tehnice și nu privește servicii ale societății informaționale. Securitatea națională rămâne responsabilitatea exclusivă a statelor membre (art. 4 alin. 2 TUE). Cerința cetățeniei române este acoperită de excepția pentru administrația publică din art. 45 alin. (4) TFUE. Nu are efecte asupra concurenței sau pieței unice.</w:t>
      </w:r>
    </w:p>
    <w:p>
      <w:pPr>
        <w:spacing w:after="160"/>
        <w:jc w:val="both"/>
      </w:pPr>
      <w:r>
        <w:rPr>
          <w:rFonts w:ascii="Calibri" w:cs="Calibri" w:eastAsia="Calibri" w:hAnsi="Calibri"/>
          <w:sz w:val="22"/>
          <w:szCs w:val="22"/>
        </w:rPr>
        <w:t xml:space="preserve">Evaluare ChatGPT (GPT-6.1 Sol): Limitarea mandatelor și transparența suplimentară pentru DGIA sunt măsuri utile. Riscul moderat vine din interimatele fără termen maxim, lipsa regulilor pentru titularii actuali și intervenția asupra componenței comisiei de control al SRI. — Limitarea mandatelor nu este, prin ea însăși, neconstituțională. Vulnerabilitatea principală privește claritatea și previzibilitatea cerute de art. 1 alin. (5), mai ales aplicarea în timp și interimatele; normele tranzitorii trebuie să respecte și art. 15 alin. (2). Art. 2 pct. 1 necesită examinare prin prisma autonomiei regulamentare și a configurației politice a comisiilor, potrivit art. 64 și art. 65 alin. (2). Interimatul prelungit la SRI/SIE trebuie evaluat în raport cu numirea parlamentară prevăzută de art. 65 alin. (2) lit. h). Art. 23 alin. (12) privește legalitatea pedepselor și nu este direct incident, deoarece proiectul nu instituie pedepse. Acestea sunt vulnerabilități de analizat, nu constatări definitive de neconstituționalitate. [Constituția României](https://legislatie.just.ro/Public/DetaliiDocument/47355). Nu rezultă restricții asupra concurenței comerciale, monopoluri economice sau bariere pentru IMM-uri. Testul din Directiva (UE) 2018/958 privește accesul la profesii reglementate din domeniul Directivei 2005/36/CE; condițiile pentru aceste funcții de conducere ale statului nu declanșează, prin ele însele, aplicarea directivei. [Art. 1–2 din Directiva 2018/958](https://eur-lex.europa.eu/eli/dir/2018/958/oj). Proiectul nu stabilește reglementări tehnice pentru produse sau reguli pentru servicii ale societății informaționale, deci nu rezultă obligația notificării TRIS. Denumirea STS și publicarea online a unei sinteze nu schimbă această concluzie. [Directiva 2015/1535](https://eur-lex.europa.eu/eli/dir/2015/1535/oj).</w:t>
      </w:r>
    </w:p>
    <w:p>
      <w:pPr>
        <w:pStyle w:val="Heading2"/>
        <w:spacing w:after="120" w:before="240"/>
      </w:pPr>
      <w:r>
        <w:rPr>
          <w:rFonts w:ascii="Calibri" w:cs="Calibri" w:eastAsia="Calibri" w:hAnsi="Calibri"/>
          <w:b/>
          <w:bCs/>
          <w:sz w:val="24"/>
          <w:szCs w:val="24"/>
        </w:rPr>
        <w:t xml:space="preserve">III. Propunere de Amendare / Reglementare și Argumentare</w:t>
      </w:r>
    </w:p>
    <w:p>
      <w:pPr>
        <w:spacing w:after="160"/>
        <w:jc w:val="both"/>
      </w:pPr>
      <w:r>
        <w:rPr>
          <w:rFonts w:ascii="Calibri" w:cs="Calibri" w:eastAsia="Calibri" w:hAnsi="Calibri"/>
          <w:sz w:val="22"/>
          <w:szCs w:val="22"/>
        </w:rPr>
        <w:t xml:space="preserve">Articol vizat: Art. 8¹ nou – dispoziții comune și tranzitorii</w:t>
      </w:r>
    </w:p>
    <w:p>
      <w:pPr>
        <w:spacing w:after="160"/>
        <w:jc w:val="both"/>
      </w:pPr>
      <w:r>
        <w:rPr>
          <w:rFonts w:ascii="Calibri" w:cs="Calibri" w:eastAsia="Calibri" w:hAnsi="Calibri"/>
          <w:sz w:val="22"/>
          <w:szCs w:val="22"/>
        </w:rPr>
        <w:t xml:space="preserve">Conținut propunere: Art. 8¹: «(1) Pentru titularii în funcție la intrarea în vigoare a legii, fiecare perioadă de 5 ani exercitată anterior, ori fracțiune din aceasta, se socotește un mandat. (2) Mandatul lor încetează la 5 ani de la ultima numire, dar nu mai devreme de 6 luni de la intrarea în vigoare a legii. (3) Un mandat încetat înainte de termen intră în limita de două mandate.»</w:t>
      </w:r>
    </w:p>
    <w:p>
      <w:pPr>
        <w:spacing w:after="160"/>
        <w:jc w:val="both"/>
      </w:pPr>
      <w:r>
        <w:rPr>
          <w:rFonts w:ascii="Calibri" w:cs="Calibri" w:eastAsia="Calibri" w:hAnsi="Calibri"/>
          <w:sz w:val="22"/>
          <w:szCs w:val="22"/>
        </w:rPr>
        <w:t xml:space="preserve">Argumentare: Proiectul nu are dispoziții tranzitorii. Nu rezultă dacă timpul deja exercitat de titularii actuali intră în limita de două mandate și nici când le încetează mandatul: calculat de la numire, unii ar ieși imediat din funcție; calculat de la intrarea în vigoare, ar primi încă 10 ani. Incertitudinea afectează previzibilitatea cerută de art. 1 alin. (5) din Constituție.</w:t>
      </w:r>
    </w:p>
    <w:p>
      <w:pPr>
        <w:spacing w:after="160"/>
        <w:jc w:val="both"/>
      </w:pPr>
      <w:r>
        <w:rPr>
          <w:rFonts w:ascii="Calibri" w:cs="Calibri" w:eastAsia="Calibri" w:hAnsi="Calibri"/>
          <w:sz w:val="22"/>
          <w:szCs w:val="22"/>
        </w:rPr>
        <w:t xml:space="preserve">Observații suplimentare: Art. 2 pct. 1 stabilește prin lege componența comisiei SRI, deși aceasta ține de autonomia regulamentară (art. 64 Constituție) și de configurația politică; recomandăm eliminarea. Interimatele nu au termen: prevedeți un termen pentru propunerea noului titular înainte de expirare. Art. 8 alin. (2): precizați cine retrage certificatul titularului și calea de contestare.</w:t>
      </w:r>
    </w:p>
    <w:p>
      <w:pPr>
        <w:pStyle w:val="Heading2"/>
        <w:spacing w:after="120" w:before="280"/>
      </w:pPr>
      <w:r>
        <w:rPr>
          <w:rFonts w:ascii="Calibri" w:cs="Calibri" w:eastAsia="Calibri" w:hAnsi="Calibri"/>
          <w:b/>
          <w:bCs/>
          <w:sz w:val="24"/>
          <w:szCs w:val="24"/>
        </w:rPr>
        <w:t xml:space="preserve">Concluzii și Solicitări Oficiale</w:t>
      </w:r>
    </w:p>
    <w:p>
      <w:pPr>
        <w:pStyle w:val="ListParagraph"/>
        <w:numPr>
          <w:ilvl w:val="0"/>
          <w:numId w:val="1"/>
        </w:numPr>
        <w:spacing w:after="120"/>
      </w:pPr>
      <w:r>
        <w:rPr>
          <w:rFonts w:ascii="Calibri" w:cs="Calibri" w:eastAsia="Calibri" w:hAnsi="Calibri"/>
          <w:b/>
          <w:bCs/>
          <w:sz w:val="22"/>
          <w:szCs w:val="22"/>
        </w:rPr>
        <w:t xml:space="preserve">Având în vedere argumentele de mai sus, solicităm Comisiilor raportoare analizarea prezentelor observații și adoptarea amendamentelor tehnic-legislative propuse.</w:t>
      </w:r>
    </w:p>
    <w:p>
      <w:pPr>
        <w:spacing w:after="120" w:before="360"/>
      </w:pPr>
      <w:r>
        <w:rPr>
          <w:rFonts w:ascii="Calibri" w:cs="Calibri" w:eastAsia="Calibri" w:hAnsi="Calibri"/>
          <w:sz w:val="22"/>
          <w:szCs w:val="22"/>
        </w:rPr>
        <w:t xml:space="preserve">Cu deosebită considerație,</w:t>
      </w:r>
    </w:p>
    <w:p>
      <w:pPr>
        <w:spacing w:after="80"/>
      </w:pPr>
      <w:r>
        <w:rPr>
          <w:rFonts w:ascii="Calibri" w:cs="Calibri" w:eastAsia="Calibri" w:hAnsi="Calibri"/>
          <w:b/>
          <w:bCs/>
          <w:sz w:val="22"/>
          <w:szCs w:val="22"/>
        </w:rPr>
        <w:t xml:space="preserve">Cetățean / Contribuabil / Reprezentant al Societății Civile</w:t>
      </w:r>
    </w:p>
    <w:p>
      <w:r>
        <w:rPr>
          <w:rFonts w:ascii="Calibri" w:cs="Calibri" w:eastAsia="Calibri" w:hAnsi="Calibri"/>
          <w:i/>
          <w:iCs/>
          <w:color w:val="666666"/>
          <w:sz w:val="18"/>
          <w:szCs w:val="18"/>
        </w:rPr>
        <w:t xml:space="preserve">Generat prin platforma civică destrajă.ro • Referință proiect: B590/2026 (Cod Senat 28030)</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2026-10-28T16:12:47.572Z</dcterms:created>
  <dcterms:modified xsi:type="dcterms:W3CDTF">2026-10-28T16:12:47.572Z</dcterms:modified>
</cp:coreProperties>
</file>

<file path=docProps/custom.xml><?xml version="1.0" encoding="utf-8"?>
<Properties xmlns="http://schemas.openxmlformats.org/officeDocument/2006/custom-properties" xmlns:vt="http://schemas.openxmlformats.org/officeDocument/2006/docPropsVTypes"/>
</file>