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8"/>
          <w:szCs w:val="28"/>
        </w:rPr>
        <w:t xml:space="preserve">PUNCT DE VEDERE AL SOCIETĂȚII CIVILE PRIVIND PROIECTUL B591/2026</w:t>
      </w:r>
    </w:p>
    <w:p>
      <w:pPr>
        <w:pBdr>
          <w:bottom w:val="single" w:color="999999" w:sz="6" w:space="8"/>
        </w:pBdr>
        <w:spacing w:after="300"/>
        <w:jc w:val="center"/>
      </w:pPr>
      <w:r>
        <w:rPr>
          <w:rFonts w:ascii="Calibri" w:cs="Calibri" w:eastAsia="Calibri" w:hAnsi="Calibri"/>
          <w:i/>
          <w:iCs/>
          <w:color w:val="444444"/>
          <w:sz w:val="20"/>
          <w:szCs w:val="20"/>
        </w:rPr>
        <w:t xml:space="preserve">Propunere legislativă pentru modificarea Legii nr.155 din 12 iulie 2010, republicată, a poliției locale (Cod Senat: 28031 | Termen dezbatere publică: 26-11-2026)</w:t>
      </w:r>
    </w:p>
    <w:p>
      <w:pPr>
        <w:spacing w:after="200" w:before="200"/>
      </w:pPr>
      <w:r>
        <w:rPr>
          <w:rFonts w:ascii="Calibri" w:cs="Calibri" w:eastAsia="Calibri" w:hAnsi="Calibri"/>
          <w:b/>
          <w:bCs/>
          <w:sz w:val="22"/>
          <w:szCs w:val="22"/>
        </w:rPr>
        <w:t xml:space="preserve">Către: Biroul Permanent al Senatului României și Comisiile permanente sesizate în fond și pentru aviz</w:t>
      </w:r>
    </w:p>
    <w:p>
      <w:pPr>
        <w:spacing w:after="240"/>
        <w:jc w:val="both"/>
      </w:pPr>
      <w:r>
        <w:rPr>
          <w:rFonts w:ascii="Calibri" w:cs="Calibri" w:eastAsia="Calibri" w:hAnsi="Calibri"/>
          <w:sz w:val="22"/>
          <w:szCs w:val="22"/>
        </w:rPr>
        <w:t xml:space="preserve">În temeiul art. 7 din Legea nr. 52/2003 privind transparența decizională și al procedurii de consultare publică a Senatului României, formulăm prezentul punct de vedere tehnic și juridic referitor la propunerea legislativă B591/2026.</w:t>
      </w:r>
    </w:p>
    <w:p>
      <w:pPr>
        <w:pStyle w:val="Heading2"/>
        <w:spacing w:after="120" w:before="240"/>
      </w:pPr>
      <w:r>
        <w:rPr>
          <w:rFonts w:ascii="Calibri" w:cs="Calibri" w:eastAsia="Calibri" w:hAnsi="Calibri"/>
          <w:b/>
          <w:bCs/>
          <w:sz w:val="24"/>
          <w:szCs w:val="24"/>
        </w:rPr>
        <w:t xml:space="preserve">I. Sinteză Executivă (Scor Risc AI — Gemini + Claude + ChatGPT: 4.0/10)</w:t>
      </w:r>
    </w:p>
    <w:p>
      <w:pPr>
        <w:spacing w:after="160"/>
        <w:jc w:val="both"/>
      </w:pPr>
      <w:r>
        <w:rPr>
          <w:rFonts w:ascii="Calibri" w:cs="Calibri" w:eastAsia="Calibri" w:hAnsi="Calibri"/>
          <w:b/>
          <w:bCs/>
          <w:sz w:val="22"/>
          <w:szCs w:val="22"/>
        </w:rPr>
        <w:t xml:space="preserve">Ce susțin inițiatorii: </w:t>
      </w:r>
      <w:r>
        <w:rPr>
          <w:rFonts w:ascii="Calibri" w:cs="Calibri" w:eastAsia="Calibri" w:hAnsi="Calibri"/>
          <w:sz w:val="22"/>
          <w:szCs w:val="22"/>
        </w:rPr>
        <w:t xml:space="preserve">Inițiatorii spun că astăzi norma de hrană a polițiștilor locali depinde de voința și de bugetul fiecărui consiliu local, așa că oameni care fac aceeași muncă sunt tratați diferit. Vor un drept uniform la nivel național, pentru echitate și pentru ca profesia să-și păstreze personalul.</w:t>
      </w:r>
    </w:p>
    <w:p>
      <w:pPr>
        <w:spacing w:after="240"/>
        <w:jc w:val="both"/>
      </w:pPr>
      <w:r>
        <w:rPr>
          <w:rFonts w:ascii="Calibri" w:cs="Calibri" w:eastAsia="Calibri" w:hAnsi="Calibri"/>
          <w:b/>
          <w:bCs/>
          <w:sz w:val="22"/>
          <w:szCs w:val="22"/>
        </w:rPr>
        <w:t xml:space="preserve">Efectul real în practică: </w:t>
      </w:r>
      <w:r>
        <w:rPr>
          <w:rFonts w:ascii="Calibri" w:cs="Calibri" w:eastAsia="Calibri" w:hAnsi="Calibri"/>
          <w:sz w:val="22"/>
          <w:szCs w:val="22"/>
        </w:rPr>
        <w:t xml:space="preserve">Articolul unic scoate din art. 35^1 alin. (1) condițiile „pot”, „în limita bugetului aprobat” și „prin hotărâre a consiliului local”. Astfel, orice autoritate locală care are poliție locală devine obligată să acorde norma de hrană prevăzută de OG nr. 26/1994. Polițiștii locali care azi primesc doar indemnizația de hrană din art. 18 al Legii nr. 153/2017 ar trece pe norma de hrană, potențial mai mare. Costul cade integral pe bugetele locale, fără nicio estimare, fără sursă de finanțare și fără perioadă de tranziție. UAT-urile mici, aflate la limita plafonului de cheltuieli de personal, ar putea compensa prin tăierea unor posturi sau a altor servicii.</w:t>
      </w:r>
    </w:p>
    <w:p>
      <w:pPr>
        <w:pStyle w:val="Heading2"/>
        <w:spacing w:after="120" w:before="240"/>
      </w:pPr>
      <w:r>
        <w:rPr>
          <w:rFonts w:ascii="Calibri" w:cs="Calibri" w:eastAsia="Calibri" w:hAnsi="Calibri"/>
          <w:b/>
          <w:bCs/>
          <w:sz w:val="24"/>
          <w:szCs w:val="24"/>
        </w:rPr>
        <w:t xml:space="preserve">II. Analiza Tehnică, Constituțională și de Drept European</w:t>
      </w:r>
    </w:p>
    <w:p>
      <w:pPr>
        <w:spacing w:after="160"/>
        <w:jc w:val="both"/>
      </w:pPr>
      <w:r>
        <w:rPr>
          <w:rFonts w:ascii="Calibri" w:cs="Calibri" w:eastAsia="Calibri" w:hAnsi="Calibri"/>
          <w:sz w:val="22"/>
          <w:szCs w:val="22"/>
        </w:rPr>
        <w:t xml:space="preserve">Evaluare Gemini (Gemini 4 Argon): Propunerea transformă norma de hrană a polițiștilor locali dintr-un beneficiu facultativ (acordat în funcție de bugetul fiecărei primării) într-o obligație legală. Deși urmărește eliminarea diferențelor salariale între localități, legea impune o cheltuială obligatorie bugetelor locale fără a indica sursa de finanțare și fără a modifica plafoanele cheltuielilor de personal. — Propunerea prezintă vicii de constituționalitate raportat la art. 138 alin. (5) din Constituție (aprobarea unor cheltuieli bugetare fără stabilirea sursei de finanțare și fără fișa financiară prevăzută de art. 15 din Legea nr. 500/2002 și Legea nr. 69/2010), la art. 120-121 privind autonomia locală financiară și la art. 1 alin. (5) privind claritatea și previzibilitatea legii, întrucât nu se corelează cu plafoanele cheltuielilor de personal ale UAT-urilor. Măsura vizează exclusiv salarizarea personalului din administrația publică locală și nu are incidență asupra pieței unice, a liberei concurențe (Directiva UE 2018/958) sau a serviciilor societății informaționale (Directiva UE 2015/1535 TRIS). Totuși, din perspectiva Cartei europene a autonomiei locale (art. 9), sarcinile financiare noi impuse autorităților locale trebuie însoțite de resurse financiare proporționale.</w:t>
      </w:r>
    </w:p>
    <w:p>
      <w:pPr>
        <w:spacing w:after="160"/>
        <w:jc w:val="both"/>
      </w:pPr>
      <w:r>
        <w:rPr>
          <w:rFonts w:ascii="Calibri" w:cs="Calibri" w:eastAsia="Calibri" w:hAnsi="Calibri"/>
          <w:sz w:val="22"/>
          <w:szCs w:val="22"/>
        </w:rPr>
        <w:t xml:space="preserve">Evaluare Claude (Claude Opus 5.5): Măsura e corectă, clară și fără capcane pentru cetățeni sau firme: transformă un drept opțional într-unul garantat pentru polițiștii locali. Problema serioasă este una singură: obligă primăriile la o cheltuială nouă fără să spună cât costă și de unde vin banii. — Art. 1 alin. (5): textul este clar și previzibil, iar verbul „acordă” nu lasă loc de interpretare. Art. 16: diferențele actuale decurg din autonomia locală și nu sunt, în sine, discriminare, dar legiuitorul are libertatea să uniformizeze dreptul. Art. 120–121: Parlamentul poate impune prin lege cheltuieli autorităților locale. Punctul vulnerabil este art. 138 alin. (5): bugetul public național include bugetele locale (alin. 1), deci nicio cheltuială nouă nu poate fi aprobată fără stabilirea sursei de finanțare. La aceasta se adaugă obligația de a solicita informarea Guvernului pentru inițiativele cu impact bugetar (art. 111 alin. 1). Fără fișă financiară și fără punctul de vedere al Guvernului, legea riscă o critică de neconstituționalitate extrinsecă. Defectul poate fi remediat pe parcursul procedurii parlamentare. Directiva (UE) 2018/958 nu se aplică: proiectul nu reglementează accesul la o profesie sau exercitarea ei, ci un drept salarial al personalului unei autorități publice, cu atribuții legate de exercitarea autorității publice. Directiva (UE) 2015/1535 (TRIS) nu este incidentă, pentru că nu există reguli tehnice privind produse sau servicii ale societății informaționale. Nu apar efecte asupra concurenței și nici ajutor de stat, deoarece beneficiarii nu sunt întreprinderi. Legătura cu dreptul UE este doar indirectă: România se află în procedura de deficit excesiv din 2020. Cheltuielile bugetelor locale intră în deficitul administrației publice (SEC 2010), deci orice cost nou nefinanțat contează pentru traiectoria de ajustare.</w:t>
      </w:r>
    </w:p>
    <w:p>
      <w:pPr>
        <w:spacing w:after="160"/>
        <w:jc w:val="both"/>
      </w:pPr>
      <w:r>
        <w:rPr>
          <w:rFonts w:ascii="Calibri" w:cs="Calibri" w:eastAsia="Calibri" w:hAnsi="Calibri"/>
          <w:sz w:val="22"/>
          <w:szCs w:val="22"/>
        </w:rPr>
        <w:t xml:space="preserve">Evaluare ChatGPT (GPT-6.1 Sol): Uniformizarea dreptului este utilă, dar proiectul impune cheltuieli locale obligatorii fără să cuantifice și să asigure, în documentele furnizate, finanțarea suplimentară. Riscul principal este bugetar și de aplicare, fără taxe sau sancțiuni noi pentru cetățeni. — Obligația este inteligibilă, dar corelarea metodologiei și precizarea aplicării în timp ar întări previzibilitatea cerută de art. 1 alin. (5). Art. 23 alin. (12) nu este incident: proiectul nu instituie pedepse. Egalitatea din art. 16 susține obiectivul, însă diferențele dintre UAT-uri nu constituie automat discriminare neconstituțională. Autonomia locală din art. 120 nu exclude standarde legale naționale. Vulnerabilitatea principală privește art. 138 alin. (5), dacă la adoptare cheltuiala obligatorie nu are sursă de finanțare stabilită; insuficiența efectivă a fondurilor nu trebuie confundată cu absența sursei. Informarea Guvernului conform art. 111 alin. (1) este obligatorie dacă sunt modificate prevederile bugetului de stat sau ale asigurărilor sociale de stat. [Constituția României](https://www.senat.ro/pagini/constitutia/constitutia.htm). Nu rezultă restricții asupra concurenței, monopoluri sau bariere pentru IMM-uri. Testul din Directiva (UE) 2018/958 nu este declanșat: proiectul acordă un drept de hrană, fără să restrângă accesul la o profesie reglementată ori exercitarea acesteia. [Art. 2 din Directiva 2018/958](https://eur-lex.europa.eu/legal-content/RO/TXT/?uri=CELEX:32018L0958). Nu sunt introduse reglementări tehnice pentru produse sau reguli privind servicii ale societății informaționale, deci nu se identifică obligație de notificare TRIS; serviciile digitale și AI nu sunt reglementate. [Directiva 2015/1535](https://eur-lex.europa.eu/legal-content/RO/TXT/?uri=CELEX:32015L1535).</w:t>
      </w:r>
    </w:p>
    <w:p>
      <w:pPr>
        <w:pStyle w:val="Heading2"/>
        <w:spacing w:after="120" w:before="240"/>
      </w:pPr>
      <w:r>
        <w:rPr>
          <w:rFonts w:ascii="Calibri" w:cs="Calibri" w:eastAsia="Calibri" w:hAnsi="Calibri"/>
          <w:b/>
          <w:bCs/>
          <w:sz w:val="24"/>
          <w:szCs w:val="24"/>
        </w:rPr>
        <w:t xml:space="preserve">III. Propunere de Amendare / Reglementare și Argumentare</w:t>
      </w:r>
    </w:p>
    <w:p>
      <w:pPr>
        <w:spacing w:after="160"/>
        <w:jc w:val="both"/>
      </w:pPr>
      <w:r>
        <w:rPr>
          <w:rFonts w:ascii="Calibri" w:cs="Calibri" w:eastAsia="Calibri" w:hAnsi="Calibri"/>
          <w:sz w:val="22"/>
          <w:szCs w:val="22"/>
        </w:rPr>
        <w:t xml:space="preserve">Articol vizat: Art. unic (art. 35^1 alin. 1, Legea 155/2010)</w:t>
      </w:r>
    </w:p>
    <w:p>
      <w:pPr>
        <w:spacing w:after="160"/>
        <w:jc w:val="both"/>
      </w:pPr>
      <w:r>
        <w:rPr>
          <w:rFonts w:ascii="Calibri" w:cs="Calibri" w:eastAsia="Calibri" w:hAnsi="Calibri"/>
          <w:sz w:val="22"/>
          <w:szCs w:val="22"/>
        </w:rPr>
        <w:t xml:space="preserve">Conținut propunere: Introducerea unui alin. (1^1): «Obligația prevăzută la alin. (1) se aplică de la 1 ianuarie a anului următor intrării în vigoare a legii; pentru UAT-urile fără capacitate financiară, diferența față de indemnizația de hrană se asigură din sume defalcate din TVA, prin legea bugetului de stat.» Corelarea HG nr. 171/2015 în 60 de zile și anexarea fișei financiare.</w:t>
      </w:r>
    </w:p>
    <w:p>
      <w:pPr>
        <w:spacing w:after="160"/>
        <w:jc w:val="both"/>
      </w:pPr>
      <w:r>
        <w:rPr>
          <w:rFonts w:ascii="Calibri" w:cs="Calibri" w:eastAsia="Calibri" w:hAnsi="Calibri"/>
          <w:sz w:val="22"/>
          <w:szCs w:val="22"/>
        </w:rPr>
        <w:t xml:space="preserve">Argumentare: Art. 138 alin. (5) și art. 111 din Constituție cer sursa de finanțare și punctul de vedere al Guvernului pentru cheltuieli noi; expunerea nu are fișă financiară (art. 15 L. 500/2002). Fără resurse, UAT-urile mici ar plăti din alte servicii, contrar art. 9 alin. (2) din Carta europeană a autonomiei locale. Aplicarea de la 1 ianuarie evită rectificări în mijlocul anului.</w:t>
      </w:r>
    </w:p>
    <w:p>
      <w:pPr>
        <w:spacing w:after="160"/>
        <w:jc w:val="both"/>
      </w:pPr>
      <w:r>
        <w:rPr>
          <w:rFonts w:ascii="Calibri" w:cs="Calibri" w:eastAsia="Calibri" w:hAnsi="Calibri"/>
          <w:sz w:val="22"/>
          <w:szCs w:val="22"/>
        </w:rPr>
        <w:t xml:space="preserve">Observații suplimentare: Formula «-la art. 35^1 alin (1) se modifică» nu respectă Legea nr. 24/2000; corect: «La articolul 35^1, alineatul (1) se modifică și va avea următorul cuprins:». Trebuie verificată corelarea celorlalte alineate ale art. 35^1 și a HG nr. 171/2015, care pot trimite la hotărârea consiliului local. Măsura e justă; problema e doar finanțarea.</w:t>
      </w:r>
    </w:p>
    <w:p>
      <w:pPr>
        <w:pStyle w:val="Heading2"/>
        <w:spacing w:after="120" w:before="280"/>
      </w:pPr>
      <w:r>
        <w:rPr>
          <w:rFonts w:ascii="Calibri" w:cs="Calibri" w:eastAsia="Calibri" w:hAnsi="Calibri"/>
          <w:b/>
          <w:bCs/>
          <w:sz w:val="24"/>
          <w:szCs w:val="24"/>
        </w:rPr>
        <w:t xml:space="preserve">Concluzii și Solicitări Oficiale</w:t>
      </w:r>
    </w:p>
    <w:p>
      <w:pPr>
        <w:pStyle w:val="ListParagraph"/>
        <w:numPr>
          <w:ilvl w:val="0"/>
          <w:numId w:val="1"/>
        </w:numPr>
        <w:spacing w:after="120"/>
      </w:pPr>
      <w:r>
        <w:rPr>
          <w:rFonts w:ascii="Calibri" w:cs="Calibri" w:eastAsia="Calibri" w:hAnsi="Calibri"/>
          <w:b/>
          <w:bCs/>
          <w:sz w:val="22"/>
          <w:szCs w:val="22"/>
        </w:rPr>
        <w:t xml:space="preserve">Având în vedere argumentele de mai sus, solicităm Comisiilor raportoare analizarea prezentelor observații și adoptarea amendamentelor tehnic-legislative propuse.</w:t>
      </w:r>
    </w:p>
    <w:p>
      <w:pPr>
        <w:spacing w:after="120" w:before="360"/>
      </w:pPr>
      <w:r>
        <w:rPr>
          <w:rFonts w:ascii="Calibri" w:cs="Calibri" w:eastAsia="Calibri" w:hAnsi="Calibri"/>
          <w:sz w:val="22"/>
          <w:szCs w:val="22"/>
        </w:rPr>
        <w:t xml:space="preserve">Cu deosebită considerație,</w:t>
      </w:r>
    </w:p>
    <w:p>
      <w:pPr>
        <w:spacing w:after="80"/>
      </w:pPr>
      <w:r>
        <w:rPr>
          <w:rFonts w:ascii="Calibri" w:cs="Calibri" w:eastAsia="Calibri" w:hAnsi="Calibri"/>
          <w:b/>
          <w:bCs/>
          <w:sz w:val="22"/>
          <w:szCs w:val="22"/>
        </w:rPr>
        <w:t xml:space="preserve">Cetățean / Contribuabil / Reprezentant al Societății Civile</w:t>
      </w:r>
    </w:p>
    <w:p>
      <w:r>
        <w:rPr>
          <w:rFonts w:ascii="Calibri" w:cs="Calibri" w:eastAsia="Calibri" w:hAnsi="Calibri"/>
          <w:i/>
          <w:iCs/>
          <w:color w:val="666666"/>
          <w:sz w:val="18"/>
          <w:szCs w:val="18"/>
        </w:rPr>
        <w:t xml:space="preserve">Generat prin platforma civică destrajă.ro • Referință proiect: B591/2026 (Cod Senat 28031)</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2026-10-28T10:28:09.612Z</dcterms:created>
  <dcterms:modified xsi:type="dcterms:W3CDTF">2026-10-28T10:28:09.612Z</dcterms:modified>
</cp:coreProperties>
</file>

<file path=docProps/custom.xml><?xml version="1.0" encoding="utf-8"?>
<Properties xmlns="http://schemas.openxmlformats.org/officeDocument/2006/custom-properties" xmlns:vt="http://schemas.openxmlformats.org/officeDocument/2006/docPropsVTypes"/>
</file>